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Newly licensed Registered Nurse (BSN, 2026) with 800+ supervised clinical hours across med-surg, critical care, pediatrics, and community health, including a 180-hour telemetry capstone preceptorship that advanced to an independent 4-patient assignment. BLS/ACLS certified, Epic-trained, and NCLEX-RN passed first attempt — seeking a med-surg or critical-care nurse residency.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Senior Capstone Preceptorship — Cardiac Telemetry</w:t>
      </w:r>
      <w:r>
        <w:tab/>
      </w:r>
      <w:r>
        <w:t>Jan 2026 – Apr 2026</w:t>
      </w:r>
    </w:p>
    <w:p>
      <w:pPr>
        <w:pStyle w:val="RK-Meta"/>
      </w:pPr>
      <w:r>
        <w:t>Riverside Regional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Completed 180 precepted hours on a 32-bed cardiac telemetry unit, advancing to independent management of a 4-patient assignment by the end of the rotation.</w:t>
      </w:r>
    </w:p>
    <w:p>
      <w:pPr>
        <w:pStyle w:val="RK-Bullet"/>
      </w:pPr>
      <w:r>
        <w:t>•</w:t>
      </w:r>
      <w:r>
        <w:tab/>
      </w:r>
      <w:r>
        <w:t>Administered and documented 200+ medications via barcode scanning with a 100% five-rights verification rate and zero errors.</w:t>
      </w:r>
    </w:p>
    <w:p>
      <w:pPr>
        <w:pStyle w:val="RK-Bullet"/>
      </w:pPr>
      <w:r>
        <w:t>•</w:t>
      </w:r>
      <w:r>
        <w:tab/>
      </w:r>
      <w:r>
        <w:t>Interpreted continuous ECG telemetry for up to 4 patients per shift, escalating 6 dysrhythmia events to the rapid-response team with accurate SBAR handoffs.</w:t>
      </w:r>
    </w:p>
    <w:p>
      <w:pPr>
        <w:pStyle w:val="RK-Role"/>
      </w:pPr>
      <w:r>
        <w:t>Clinical Rotation — Critical Care (ICU)</w:t>
      </w:r>
      <w:r>
        <w:tab/>
      </w:r>
      <w:r>
        <w:t>Aug 2025 – Dec 2025</w:t>
      </w:r>
    </w:p>
    <w:p>
      <w:pPr>
        <w:pStyle w:val="RK-Meta"/>
      </w:pPr>
      <w:r>
        <w:t>The Ohio State University Wexner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Provided student-nurse care for 1–2 high-acuity ICU patients per shift under RN supervision across 120 clinical hours.</w:t>
      </w:r>
    </w:p>
    <w:p>
      <w:pPr>
        <w:pStyle w:val="RK-Bullet"/>
      </w:pPr>
      <w:r>
        <w:t>•</w:t>
      </w:r>
      <w:r>
        <w:tab/>
      </w:r>
      <w:r>
        <w:t>Assisted with 10+ ventilator-management and vasoactive-titration protocols while maintaining 100% adherence to hourly neuro and hemodynamic assessments.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2022 – 2026</w:t>
      </w:r>
    </w:p>
    <w:p>
      <w:pPr>
        <w:pStyle w:val="RK-Meta"/>
      </w:pPr>
      <w:r>
        <w:t>The Ohio State University College of Nursing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800+ supervised clinical hours across med-surg, critical care, pediatrics, OB, psychiatric, and community health.</w:t>
      </w:r>
    </w:p>
    <w:p>
      <w:pPr>
        <w:pStyle w:val="RK-Bullet"/>
      </w:pPr>
      <w:r>
        <w:t>•</w:t>
      </w:r>
      <w:r>
        <w:tab/>
      </w:r>
      <w:r>
        <w:t>GPA 3.8/4.0; Dean's List for 6 consecutive semesters.</w:t>
      </w:r>
    </w:p>
    <w:p>
      <w:pPr>
        <w:pStyle w:val="RK-Section"/>
      </w:pPr>
      <w:r>
        <w:t>Skills</w:t>
      </w:r>
    </w:p>
    <w:p>
      <w:pPr>
        <w:pStyle w:val="RK-Body"/>
      </w:pPr>
      <w:r>
        <w:t>Medical-Surgical Nursing  •  Telemetry &amp; ECG Interpretation  •  Medication Administration (Five Rights)  •  Head-to-Toe Assessment  •  IV Insertion &amp; Venipuncture  •  Epic EHR  •  SBAR Communication  •  Infection Control &amp; Hand Hygiene  •  Patient &amp; Family Education  •  Interdisciplinary Team Collaboration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Ohio Board of Nursing, License #RN-456789 (eNLC multistate), issued 2026</w:t>
      </w:r>
    </w:p>
    <w:p>
      <w:pPr>
        <w:pStyle w:val="RK-Bullet"/>
      </w:pPr>
      <w:r>
        <w:t>•</w:t>
      </w:r>
      <w:r>
        <w:tab/>
      </w:r>
      <w:r>
        <w:t>NCLEX-RN — passed on first attempt, May 2026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