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Portfolio"/>
      </w:pPr>
      <w:r>
        <w:t>Professional Nursing Portfolio</w:t>
      </w:r>
    </w:p>
    <w:p>
      <w:pPr>
        <w:pStyle w:val="RK-LetterBody"/>
      </w:pPr>
      <w:r>
        <w:t>I entered nursing to be a steady, safe presence for patients on their hardest days. As a new graduate I lead with the five rights, honest communication, and a willingness to ask, learn, and double-check — because safe care is built on humility as much as skill.</w:t>
      </w:r>
    </w:p>
    <w:p>
      <w:pPr>
        <w:pStyle w:val="RK-Section"/>
      </w:pPr>
      <w:r>
        <w:t>Licensure &amp; Credentials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 compact), issued 2026.</w:t>
      </w:r>
    </w:p>
    <w:p>
      <w:pPr>
        <w:pStyle w:val="RK-Bullet"/>
      </w:pPr>
      <w:r>
        <w:t>•</w:t>
      </w:r>
      <w:r>
        <w:tab/>
      </w:r>
      <w:r>
        <w:t>NCLEX-RN — passed on first attempt, May 2026.</w:t>
      </w:r>
    </w:p>
    <w:p>
      <w:pPr>
        <w:pStyle w:val="RK-Bullet"/>
      </w:pPr>
      <w:r>
        <w:t>•</w:t>
      </w:r>
      <w:r>
        <w:tab/>
      </w:r>
      <w:r>
        <w:t>BLS and ACLS — American Heart Association, current through 2028.</w:t>
      </w:r>
    </w:p>
    <w:p>
      <w:pPr>
        <w:pStyle w:val="RK-Bullet"/>
      </w:pPr>
      <w:r>
        <w:t>•</w:t>
      </w:r>
      <w:r>
        <w:tab/>
      </w:r>
      <w:r>
        <w:t>Bachelor of Science in Nursing (BSN), The Ohio State University College of Nursing, 2026, GPA 3.8/4.0.</w:t>
      </w:r>
    </w:p>
    <w:p>
      <w:pPr>
        <w:pStyle w:val="RK-Section"/>
      </w:pPr>
      <w:r>
        <w:t>Clinical Rotations &amp; Hours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180-hour senior capstone preceptorship on a 32-bed cardiac telemetry unit, advancing to an independent 4-patient assignment.</w:t>
      </w:r>
    </w:p>
    <w:p>
      <w:pPr>
        <w:pStyle w:val="RK-Bullet"/>
      </w:pPr>
      <w:r>
        <w:t>•</w:t>
      </w:r>
      <w:r>
        <w:tab/>
      </w:r>
      <w:r>
        <w:t>120 ICU rotation hours assisting with ventilator management and vasoactive titration under RN supervision.</w:t>
      </w:r>
    </w:p>
    <w:p>
      <w:pPr>
        <w:pStyle w:val="RK-Bullet"/>
      </w:pPr>
      <w:r>
        <w:t>•</w:t>
      </w:r>
      <w:r>
        <w:tab/>
      </w:r>
      <w:r>
        <w:t>20+ supervised sterile procedures (Foley insertion, wound care, IV starts) at a 100% aseptic-technique pass rate.</w:t>
      </w:r>
    </w:p>
    <w:p>
      <w:pPr>
        <w:pStyle w:val="RK-Section"/>
      </w:pPr>
      <w:r>
        <w:t>Competencies &amp; Professional Development</w:t>
      </w:r>
    </w:p>
    <w:p>
      <w:pPr>
        <w:pStyle w:val="RK-Bullet"/>
      </w:pPr>
      <w:r>
        <w:t>•</w:t>
      </w:r>
      <w:r>
        <w:tab/>
      </w:r>
      <w:r>
        <w:t>Head-to-toe assessment, telemetry and ECG interpretation, and SBAR communication.</w:t>
      </w:r>
    </w:p>
    <w:p>
      <w:pPr>
        <w:pStyle w:val="RK-Bullet"/>
      </w:pPr>
      <w:r>
        <w:t>•</w:t>
      </w:r>
      <w:r>
        <w:tab/>
      </w:r>
      <w:r>
        <w:t>Barcode medication administration with a documented 100% five-rights verification rate.</w:t>
      </w:r>
    </w:p>
    <w:p>
      <w:pPr>
        <w:pStyle w:val="RK-Bullet"/>
      </w:pPr>
      <w:r>
        <w:t>•</w:t>
      </w:r>
      <w:r>
        <w:tab/>
      </w:r>
      <w:r>
        <w:t>Senior capstone project: an evidence-based fall-prevention bundle adopted unit-wide during preceptorship.</w:t>
      </w:r>
    </w:p>
    <w:p>
      <w:pPr>
        <w:pStyle w:val="RK-Bullet"/>
      </w:pPr>
      <w:r>
        <w:t>•</w:t>
      </w:r>
      <w:r>
        <w:tab/>
      </w:r>
      <w:r>
        <w:t>Member, National Student Nurses' Association and Sigma Theta Tau International Honor Society of Nursing.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