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Critical-care Registered Nurse with 8+ years in ICU and cardiac step-down units caring for high-acuity patients at 2:1–5:1 ratios. Charge nurse, preceptor, and Epic super-user with a sustained record of zero central-line infections, top-decile patient-satisfaction scores, and high new-graduate retention.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Critical Care RN &amp; Charge Nurse</w:t>
      </w:r>
      <w:r>
        <w:tab/>
      </w:r>
      <w:r>
        <w:t>2020 – Present</w:t>
      </w:r>
    </w:p>
    <w:p>
      <w:pPr>
        <w:pStyle w:val="RK-Meta"/>
      </w:pPr>
      <w:r>
        <w:t>Queen City Regional Medical Center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Manage care for up to 3 high-acuity ICU patients per shift — including ventilator, CRRT, and post-op cardiac cases — while sustaining 98% adherence to hourly assessment and documentation standards.</w:t>
      </w:r>
    </w:p>
    <w:p>
      <w:pPr>
        <w:pStyle w:val="RK-Bullet"/>
      </w:pPr>
      <w:r>
        <w:t>•</w:t>
      </w:r>
      <w:r>
        <w:tab/>
      </w:r>
      <w:r>
        <w:t>Led a unit CLABSI-reduction initiative that drove central-line infections from 2.1 to 0 per 1,000 line-days over 18 months, with zero infections sustained across 3 consecutive years.</w:t>
      </w:r>
    </w:p>
    <w:p>
      <w:pPr>
        <w:pStyle w:val="RK-Bullet"/>
      </w:pPr>
      <w:r>
        <w:t>•</w:t>
      </w:r>
      <w:r>
        <w:tab/>
      </w:r>
      <w:r>
        <w:t>Serve as charge nurse for a 24-bed ICU 6–8 shifts per month, coordinating assignments for 12–16 staff and cutting average admission turnaround from 45 to 28 minutes.</w:t>
      </w:r>
    </w:p>
    <w:p>
      <w:pPr>
        <w:pStyle w:val="RK-Bullet"/>
      </w:pPr>
      <w:r>
        <w:t>•</w:t>
      </w:r>
      <w:r>
        <w:tab/>
      </w:r>
      <w:r>
        <w:t>Precepted 14 new-graduate nurses through a 12-week residency, retaining 13 of 14 (93%) at the one-year mark — 20 points above the unit average.</w:t>
      </w:r>
    </w:p>
    <w:p>
      <w:pPr>
        <w:pStyle w:val="RK-Bullet"/>
      </w:pPr>
      <w:r>
        <w:t>•</w:t>
      </w:r>
      <w:r>
        <w:tab/>
      </w:r>
      <w:r>
        <w:t>Raised unit HCAHPS nurse-communication scores from the 62nd to the 88th percentile, earning a 2023 DAISY Award nomination for patient advocacy.</w:t>
      </w:r>
    </w:p>
    <w:p>
      <w:pPr>
        <w:pStyle w:val="RK-Role"/>
      </w:pPr>
      <w:r>
        <w:t>Telemetry / Cardiac Step-Down RN</w:t>
      </w:r>
      <w:r>
        <w:tab/>
      </w:r>
      <w:r>
        <w:t>2017 – 2020</w:t>
      </w:r>
    </w:p>
    <w:p>
      <w:pPr>
        <w:pStyle w:val="RK-Meta"/>
      </w:pPr>
      <w:r>
        <w:t>Piedmont Heart &amp; Vascular Hospital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Delivered care to 5–6 telemetry patients per shift on a 36-bed cardiac step-down unit, interpreting continuous ECG monitoring and escalating 30+ dysrhythmia events without a single missed rapid response.</w:t>
      </w:r>
    </w:p>
    <w:p>
      <w:pPr>
        <w:pStyle w:val="RK-Bullet"/>
      </w:pPr>
      <w:r>
        <w:t>•</w:t>
      </w:r>
      <w:r>
        <w:tab/>
      </w:r>
      <w:r>
        <w:t>Reduced unit medication-administration errors by 27% by championing a barcode-scanning push that lifted scan-compliance from 84% to 99%.</w:t>
      </w:r>
    </w:p>
    <w:p>
      <w:pPr>
        <w:pStyle w:val="RK-Bullet"/>
      </w:pPr>
      <w:r>
        <w:t>•</w:t>
      </w:r>
      <w:r>
        <w:tab/>
      </w:r>
      <w:r>
        <w:t>Cross-trained 8 float-pool nurses on telemetry protocols, expanding qualified coverage and trimming agency-staffing spend by roughly $60K per quarter.</w:t>
      </w:r>
    </w:p>
    <w:p>
      <w:pPr>
        <w:pStyle w:val="RK-Bullet"/>
      </w:pPr>
      <w:r>
        <w:t>•</w:t>
      </w:r>
      <w:r>
        <w:tab/>
      </w:r>
      <w:r>
        <w:t>Maintained a 4.9/5.0 average patient-experience rating across 3 years while carrying one of the unit's heaviest patient loads.</w:t>
      </w:r>
    </w:p>
    <w:p>
      <w:pPr>
        <w:pStyle w:val="RK-Role"/>
      </w:pPr>
      <w:r>
        <w:t>Medical-Surgical Staff Nurse</w:t>
      </w:r>
      <w:r>
        <w:tab/>
      </w:r>
      <w:r>
        <w:t>2014 – 2017</w:t>
      </w:r>
    </w:p>
    <w:p>
      <w:pPr>
        <w:pStyle w:val="RK-Meta"/>
      </w:pPr>
      <w:r>
        <w:t>Mercy General Hospital</w:t>
      </w:r>
      <w:r>
        <w:tab/>
      </w:r>
      <w:r>
        <w:t>Winston-Salem, NC</w:t>
      </w:r>
    </w:p>
    <w:p>
      <w:pPr>
        <w:pStyle w:val="RK-Bullet"/>
      </w:pPr>
      <w:r>
        <w:t>•</w:t>
      </w:r>
      <w:r>
        <w:tab/>
      </w:r>
      <w:r>
        <w:t>Provided direct care for 6–7 med-surg patients per shift across a 40-bed unit, holding the 30-day readmission rate below the 12% national benchmark.</w:t>
      </w:r>
    </w:p>
    <w:p>
      <w:pPr>
        <w:pStyle w:val="RK-Bullet"/>
      </w:pPr>
      <w:r>
        <w:t>•</w:t>
      </w:r>
      <w:r>
        <w:tab/>
      </w:r>
      <w:r>
        <w:t>Completed discharge teaching for an average of 4 patients daily, contributing to a 15% drop in avoidable CHF and COPD readmissions.</w:t>
      </w:r>
    </w:p>
    <w:p>
      <w:pPr>
        <w:pStyle w:val="RK-Bullet"/>
      </w:pPr>
      <w:r>
        <w:t>•</w:t>
      </w:r>
      <w:r>
        <w:tab/>
      </w:r>
      <w:r>
        <w:t>Maintained 100% on-time completion of core-measure documentation across 3 consecutive Joint Commission review cycles.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2010 – 2014</w:t>
      </w:r>
    </w:p>
    <w:p>
      <w:pPr>
        <w:pStyle w:val="RK-Meta"/>
      </w:pPr>
      <w:r>
        <w:t>University of North Carolina at Charlotte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Graduated cum laude, 3.7 GPA; Sigma Theta Tau International Honor Society of Nursing.</w:t>
      </w:r>
    </w:p>
    <w:p>
      <w:pPr>
        <w:pStyle w:val="RK-Section"/>
      </w:pPr>
      <w:r>
        <w:t>Skills</w:t>
      </w:r>
    </w:p>
    <w:p>
      <w:pPr>
        <w:pStyle w:val="RK-Body"/>
      </w:pPr>
      <w:r>
        <w:t>ICU &amp; Critical Care  •  Ventilator &amp; CRRT Management  •  Hemodynamic Monitoring  •  Telemetry &amp; ECG Interpretation  •  Rapid Response / Code Team  •  Charge Nurse &amp; Staffing  •  Preceptorship &amp; Mentoring  •  Epic EHR  •  IV Therapy &amp; Central Lines  •  Patient &amp; Family Education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multistate), active through 2027</w:t>
      </w:r>
    </w:p>
    <w:p>
      <w:pPr>
        <w:pStyle w:val="RK-Bullet"/>
      </w:pPr>
      <w:r>
        <w:t>•</w:t>
      </w:r>
      <w:r>
        <w:tab/>
      </w:r>
      <w:r>
        <w:t>CCRN — Critical Care Registered Nurse, AACN (2019–present)</w:t>
      </w:r>
    </w:p>
    <w:p>
      <w:pPr>
        <w:pStyle w:val="RK-Bullet"/>
      </w:pPr>
      <w:r>
        <w:t>•</w:t>
      </w:r>
      <w:r>
        <w:tab/>
      </w:r>
      <w:r>
        <w:t>ACLS — Advanced Cardiovascular Life Support, American Heart Association (exp. 2026)</w:t>
      </w:r>
    </w:p>
    <w:p>
      <w:pPr>
        <w:pStyle w:val="RK-Bullet"/>
      </w:pPr>
      <w:r>
        <w:t>•</w:t>
      </w:r>
      <w:r>
        <w:tab/>
      </w:r>
      <w:r>
        <w:t>BLS — Basic Life Support, American Heart Association (exp. 2026)</w:t>
      </w:r>
    </w:p>
    <w:p>
      <w:pPr>
        <w:pStyle w:val="RK-Bullet"/>
      </w:pPr>
      <w:r>
        <w:t>•</w:t>
      </w:r>
      <w:r>
        <w:tab/>
      </w:r>
      <w:r>
        <w:t>PALS — Pediatric Advanced Life Support, American Heart Association (exp. 2026)</w:t>
      </w:r>
    </w:p>
    <w:p>
      <w:pPr>
        <w:pStyle w:val="RK-Section"/>
      </w:pPr>
      <w:r>
        <w:t>Awards &amp; Recognition</w:t>
      </w:r>
    </w:p>
    <w:p>
      <w:pPr>
        <w:pStyle w:val="RK-Bullet"/>
      </w:pPr>
      <w:r>
        <w:t>•</w:t>
      </w:r>
      <w:r>
        <w:tab/>
      </w:r>
      <w:r>
        <w:t>DAISY Award Nominee, 2023 — recognized for exceptional patient advocacy in critical care.</w:t>
      </w:r>
    </w:p>
    <w:p>
      <w:pPr>
        <w:pStyle w:val="RK-Bullet"/>
      </w:pPr>
      <w:r>
        <w:t>•</w:t>
      </w:r>
      <w:r>
        <w:tab/>
      </w:r>
      <w:r>
        <w:t>Nurse of the Quarter, Q2 2021 — selected from 400+ nursing staff for CLABSI-reduction leadership.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