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RK-Name"/>
      </w:pPr>
      <w:r>
        <w:t>Marisa J. Coleman, BSN, RN</w:t>
      </w:r>
    </w:p>
    <w:p>
      <w:pPr>
        <w:pStyle w:val="RK-Contact"/>
      </w:pPr>
      <w:r>
        <w:t>(704) 555-0148  •  marisa.coleman.rn@gmail.com  •  Charlotte, NC  •  linkedin.com/in/marisa-coleman-rn</w:t>
      </w:r>
    </w:p>
    <w:p>
      <w:pPr>
        <w:pStyle w:val="RK-Portfolio"/>
      </w:pPr>
      <w:r>
        <w:t>Professional Nursing Portfolio</w:t>
      </w:r>
    </w:p>
    <w:p>
      <w:pPr>
        <w:pStyle w:val="RK-LetterBody"/>
      </w:pPr>
      <w:r>
        <w:t>I practice patient- and family-centered critical care grounded in evidence, clear communication, and relentless attention to safety. My goal on every shift is zero preventable harm and a patient who feels heard — and to grow the nurses coming up behind me so that standard outlives me.</w:t>
      </w:r>
    </w:p>
    <w:p>
      <w:pPr>
        <w:pStyle w:val="RK-Section"/>
      </w:pPr>
      <w:r>
        <w:t>Licensure &amp; Credentials</w:t>
      </w:r>
    </w:p>
    <w:p>
      <w:pPr>
        <w:pStyle w:val="RK-Bullet"/>
      </w:pPr>
      <w:r>
        <w:t>•</w:t>
      </w:r>
      <w:r>
        <w:tab/>
      </w:r>
      <w:r>
        <w:t>Registered Nurse (RN) — North Carolina Board of Nursing, License #123-4567 (eNLC multistate compact), active through 2027.</w:t>
      </w:r>
    </w:p>
    <w:p>
      <w:pPr>
        <w:pStyle w:val="RK-Bullet"/>
      </w:pPr>
      <w:r>
        <w:t>•</w:t>
      </w:r>
      <w:r>
        <w:tab/>
      </w:r>
      <w:r>
        <w:t>CCRN — Critical Care Registered Nurse, AACN, held continuously since 2019.</w:t>
      </w:r>
    </w:p>
    <w:p>
      <w:pPr>
        <w:pStyle w:val="RK-Bullet"/>
      </w:pPr>
      <w:r>
        <w:t>•</w:t>
      </w:r>
      <w:r>
        <w:tab/>
      </w:r>
      <w:r>
        <w:t>BLS, ACLS, and PALS — American Heart Association, all current through 2026.</w:t>
      </w:r>
    </w:p>
    <w:p>
      <w:pPr>
        <w:pStyle w:val="RK-Bullet"/>
      </w:pPr>
      <w:r>
        <w:t>•</w:t>
      </w:r>
      <w:r>
        <w:tab/>
      </w:r>
      <w:r>
        <w:t>Bachelor of Science in Nursing (BSN), University of North Carolina at Charlotte, 2014, cum laude (3.7 GPA).</w:t>
      </w:r>
    </w:p>
    <w:p>
      <w:pPr>
        <w:pStyle w:val="RK-Section"/>
      </w:pPr>
      <w:r>
        <w:t>Clinical Competencies</w:t>
      </w:r>
    </w:p>
    <w:p>
      <w:pPr>
        <w:pStyle w:val="RK-Bullet"/>
      </w:pPr>
      <w:r>
        <w:t>•</w:t>
      </w:r>
      <w:r>
        <w:tab/>
      </w:r>
      <w:r>
        <w:t>High-acuity ICU care: mechanical ventilation, CRRT, vasoactive titration, and post-op cardiac management at 2:1–5:1 ratios.</w:t>
      </w:r>
    </w:p>
    <w:p>
      <w:pPr>
        <w:pStyle w:val="RK-Bullet"/>
      </w:pPr>
      <w:r>
        <w:t>•</w:t>
      </w:r>
      <w:r>
        <w:tab/>
      </w:r>
      <w:r>
        <w:t>Hemodynamic monitoring, arterial and central lines, and rapid-response / code-team leadership.</w:t>
      </w:r>
    </w:p>
    <w:p>
      <w:pPr>
        <w:pStyle w:val="RK-Bullet"/>
      </w:pPr>
      <w:r>
        <w:t>•</w:t>
      </w:r>
      <w:r>
        <w:tab/>
      </w:r>
      <w:r>
        <w:t>Telemetry and 12-lead ECG interpretation with documented escalation of 30+ dysrhythmia events without a missed rapid response.</w:t>
      </w:r>
    </w:p>
    <w:p>
      <w:pPr>
        <w:pStyle w:val="RK-Bullet"/>
      </w:pPr>
      <w:r>
        <w:t>•</w:t>
      </w:r>
      <w:r>
        <w:tab/>
      </w:r>
      <w:r>
        <w:t>Charge-nurse staffing and throughput, Epic EHR super-use, and SBAR hand-off standardization.</w:t>
      </w:r>
    </w:p>
    <w:p>
      <w:pPr>
        <w:pStyle w:val="RK-Section"/>
      </w:pPr>
      <w:r>
        <w:t>Leadership &amp; Professional Development</w:t>
      </w:r>
    </w:p>
    <w:p>
      <w:pPr>
        <w:pStyle w:val="RK-Bullet"/>
      </w:pPr>
      <w:r>
        <w:t>•</w:t>
      </w:r>
      <w:r>
        <w:tab/>
      </w:r>
      <w:r>
        <w:t>Precepted 14 new-graduate nurses through a 12-week residency with 93% one-year retention.</w:t>
      </w:r>
    </w:p>
    <w:p>
      <w:pPr>
        <w:pStyle w:val="RK-Bullet"/>
      </w:pPr>
      <w:r>
        <w:t>•</w:t>
      </w:r>
      <w:r>
        <w:tab/>
      </w:r>
      <w:r>
        <w:t>Led a unit CLABSI-reduction bundle sustaining 0 infections per 1,000 line-days over 3 years.</w:t>
      </w:r>
    </w:p>
    <w:p>
      <w:pPr>
        <w:pStyle w:val="RK-Bullet"/>
      </w:pPr>
      <w:r>
        <w:t>•</w:t>
      </w:r>
      <w:r>
        <w:tab/>
      </w:r>
      <w:r>
        <w:t>Completed 40+ hours of continuing education annually in critical-care and preceptor development.</w:t>
      </w:r>
    </w:p>
    <w:p>
      <w:pPr>
        <w:pStyle w:val="RK-Bullet"/>
      </w:pPr>
      <w:r>
        <w:t>•</w:t>
      </w:r>
      <w:r>
        <w:tab/>
      </w:r>
      <w:r>
        <w:t>Member, American Association of Critical-Care Nurses (AACN) and Sigma Theta Tau International Honor Society of Nursing.</w:t>
      </w:r>
    </w:p>
    <w:sectPr w:rsidR="00FC693F" w:rsidRPr="0006063C" w:rsidSect="0003461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 w:after="60"/>
    </w:pPr>
    <w:rPr>
      <w:rFonts w:ascii="Calibri" w:hAnsi="Calibri"/>
      <w:color w:val="1A1A1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RK-Name">
    <w:name w:val="RK-Name"/>
    <w:basedOn w:val="Normal"/>
    <w:pPr>
      <w:keepNext/>
      <w:spacing w:before="0" w:after="40"/>
      <w:jc w:val="left"/>
    </w:pPr>
    <w:rPr>
      <w:rFonts w:ascii="Georgia" w:hAnsi="Georgia"/>
      <w:b/>
      <w:color w:val="233F5C"/>
      <w:sz w:val="44"/>
    </w:rPr>
  </w:style>
  <w:style w:type="paragraph" w:customStyle="1" w:styleId="RK-Contact">
    <w:name w:val="RK-Contact"/>
    <w:basedOn w:val="Normal"/>
    <w:pPr>
      <w:spacing w:after="160"/>
      <w:jc w:val="left"/>
    </w:pPr>
    <w:rPr>
      <w:rFonts w:ascii="Calibri" w:hAnsi="Calibri"/>
      <w:color w:val="404040"/>
      <w:sz w:val="22"/>
    </w:rPr>
  </w:style>
  <w:style w:type="paragraph" w:customStyle="1" w:styleId="RK-Section">
    <w:name w:val="RK-Section"/>
    <w:basedOn w:val="Normal"/>
    <w:pPr>
      <w:keepNext/>
      <w:spacing w:before="140" w:after="60"/>
      <w:pBdr>
        <w:bottom w:val="single" w:sz="6" w:space="2" w:color="233F5C"/>
      </w:pBdr>
    </w:pPr>
    <w:rPr>
      <w:rFonts w:ascii="Georgia" w:hAnsi="Georgia"/>
      <w:b/>
      <w:color w:val="233F5C"/>
      <w:sz w:val="28"/>
    </w:rPr>
  </w:style>
  <w:style w:type="paragraph" w:customStyle="1" w:styleId="RK-Body">
    <w:name w:val="RK-Body"/>
    <w:basedOn w:val="Normal"/>
    <w:pPr>
      <w:spacing w:line="240" w:lineRule="auto" w:after="60"/>
      <w:jc w:val="left"/>
    </w:pPr>
    <w:rPr>
      <w:rFonts w:ascii="Calibri" w:hAnsi="Calibri"/>
      <w:color w:val="1A1A1A"/>
      <w:sz w:val="22"/>
    </w:rPr>
  </w:style>
  <w:style w:type="paragraph" w:customStyle="1" w:styleId="RK-Bullet">
    <w:name w:val="RK-Bullet"/>
    <w:basedOn w:val="RK-Body"/>
    <w:pPr>
      <w:tabs>
        <w:tab w:pos="360" w:val="left"/>
      </w:tabs>
      <w:spacing w:after="40" w:line="240" w:lineRule="auto"/>
      <w:ind w:left="360" w:hanging="360"/>
    </w:pPr>
    <w:rPr>
      <w:rFonts w:ascii="Calibri" w:hAnsi="Calibri"/>
      <w:color w:val="1A1A1A"/>
      <w:sz w:val="22"/>
    </w:rPr>
  </w:style>
  <w:style w:type="paragraph" w:customStyle="1" w:styleId="RK-Role">
    <w:name w:val="RK-Role"/>
    <w:basedOn w:val="Normal"/>
    <w:pPr>
      <w:keepNext/>
      <w:tabs>
        <w:tab w:pos="9026" w:val="right"/>
      </w:tabs>
      <w:spacing w:before="100" w:after="0"/>
    </w:pPr>
    <w:rPr>
      <w:rFonts w:ascii="Calibri" w:hAnsi="Calibri"/>
      <w:b/>
      <w:color w:val="1A1A1A"/>
      <w:sz w:val="22"/>
    </w:rPr>
  </w:style>
  <w:style w:type="paragraph" w:customStyle="1" w:styleId="RK-Meta">
    <w:name w:val="RK-Meta"/>
    <w:basedOn w:val="Normal"/>
    <w:pPr>
      <w:keepNext/>
      <w:tabs>
        <w:tab w:pos="9026" w:val="right"/>
      </w:tabs>
      <w:spacing w:after="40"/>
    </w:pPr>
    <w:rPr>
      <w:rFonts w:ascii="Calibri" w:hAnsi="Calibri"/>
      <w:i/>
      <w:color w:val="404040"/>
      <w:sz w:val="22"/>
    </w:rPr>
  </w:style>
  <w:style w:type="paragraph" w:customStyle="1" w:styleId="RK-LetterBody">
    <w:name w:val="RK-LetterBody"/>
    <w:basedOn w:val="RK-Body"/>
    <w:pPr>
      <w:spacing w:line="264" w:lineRule="auto" w:after="160"/>
      <w:jc w:val="left"/>
    </w:pPr>
    <w:rPr>
      <w:rFonts w:ascii="Calibri" w:hAnsi="Calibri"/>
      <w:color w:val="1A1A1A"/>
      <w:sz w:val="22"/>
    </w:rPr>
  </w:style>
  <w:style w:type="paragraph" w:customStyle="1" w:styleId="RK-LetterAddr">
    <w:name w:val="RK-LetterAddr"/>
    <w:basedOn w:val="RK-Body"/>
    <w:pPr>
      <w:spacing w:line="252" w:lineRule="auto" w:after="0"/>
      <w:jc w:val="left"/>
    </w:pPr>
    <w:rPr>
      <w:rFonts w:ascii="Calibri" w:hAnsi="Calibri"/>
      <w:color w:val="1A1A1A"/>
      <w:sz w:val="22"/>
    </w:rPr>
  </w:style>
  <w:style w:type="paragraph" w:customStyle="1" w:styleId="RK-Portfolio">
    <w:name w:val="RK-Portfolio"/>
    <w:basedOn w:val="RK-Body"/>
    <w:pPr>
      <w:spacing w:before="40" w:after="160"/>
    </w:pPr>
    <w:rPr>
      <w:rFonts w:ascii="Georgia" w:hAnsi="Georgia"/>
      <w:b/>
      <w:color w:val="233F5C"/>
      <w:sz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